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314E" w14:textId="77777777" w:rsidR="00836C88" w:rsidRDefault="00836C88" w:rsidP="00836C88">
      <w:pPr>
        <w:jc w:val="center"/>
      </w:pPr>
      <w:r w:rsidRPr="004847A4">
        <w:rPr>
          <w:noProof/>
          <w:lang w:eastAsia="ru-RU"/>
        </w:rPr>
        <w:drawing>
          <wp:inline distT="0" distB="0" distL="0" distR="0" wp14:anchorId="2909A369" wp14:editId="71CEB0E2">
            <wp:extent cx="635659" cy="798843"/>
            <wp:effectExtent l="19050" t="0" r="0" b="0"/>
            <wp:docPr id="1457023271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154B4" w14:textId="77777777" w:rsidR="00836C88" w:rsidRPr="002B5CE2" w:rsidRDefault="00836C88" w:rsidP="00836C88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14:paraId="494B4F49" w14:textId="77777777" w:rsidR="00836C88" w:rsidRPr="002B5CE2" w:rsidRDefault="00836C88" w:rsidP="00836C88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14:paraId="692D91D0" w14:textId="77777777" w:rsidR="00836C88" w:rsidRPr="002B5CE2" w:rsidRDefault="00836C88" w:rsidP="00836C88">
      <w:pPr>
        <w:spacing w:line="220" w:lineRule="exact"/>
        <w:jc w:val="center"/>
        <w:rPr>
          <w:rStyle w:val="2"/>
          <w:sz w:val="28"/>
          <w:szCs w:val="28"/>
        </w:rPr>
      </w:pPr>
    </w:p>
    <w:p w14:paraId="143FC0CA" w14:textId="1D97104A" w:rsidR="00836C88" w:rsidRPr="003C32CB" w:rsidRDefault="00836C88" w:rsidP="00836C88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>
        <w:rPr>
          <w:rFonts w:cs="Times New Roman"/>
          <w:color w:val="000000"/>
          <w:sz w:val="18"/>
          <w:szCs w:val="18"/>
          <w:lang w:eastAsia="ru-RU" w:bidi="ru-RU"/>
        </w:rPr>
        <w:t>)-6-35-61;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14:paraId="6CD3D242" w14:textId="060A4194" w:rsidR="00836C88" w:rsidRPr="00972A1A" w:rsidRDefault="00836C88" w:rsidP="00836C88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</w:t>
      </w:r>
      <w:r w:rsidRPr="00836C88">
        <w:rPr>
          <w:rStyle w:val="485pt"/>
          <w:rFonts w:ascii="Times New Roman" w:hAnsi="Times New Roman" w:cs="Times New Roman"/>
          <w:sz w:val="18"/>
          <w:szCs w:val="18"/>
        </w:rPr>
        <w:t xml:space="preserve">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53615C1" w14:textId="77777777" w:rsidR="00836C88" w:rsidRPr="00972A1A" w:rsidRDefault="00836C88" w:rsidP="00836C8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ED569E" w14:textId="77777777" w:rsidR="00836C88" w:rsidRDefault="00836C88" w:rsidP="00836C88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6A20CC81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79BF2BE8" w14:textId="77777777" w:rsidR="00C264AF" w:rsidRDefault="00C264AF" w:rsidP="00836C88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D5E9229" w14:textId="62FEAB7B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 xml:space="preserve">┌                                     </w:t>
      </w:r>
      <w:r w:rsidR="00C264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52B4">
        <w:rPr>
          <w:rFonts w:ascii="Times New Roman" w:hAnsi="Times New Roman" w:cs="Times New Roman"/>
          <w:sz w:val="24"/>
          <w:szCs w:val="24"/>
        </w:rPr>
        <w:t xml:space="preserve">      ┐</w:t>
      </w:r>
    </w:p>
    <w:p w14:paraId="78B436F5" w14:textId="77777777" w:rsidR="009136E2" w:rsidRPr="003C0D61" w:rsidRDefault="009136E2" w:rsidP="003C0D61">
      <w:pPr>
        <w:pStyle w:val="a6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3C0D61">
        <w:rPr>
          <w:rFonts w:ascii="Times New Roman" w:hAnsi="Times New Roman" w:cs="Times New Roman"/>
          <w:b/>
          <w:sz w:val="26"/>
          <w:szCs w:val="26"/>
        </w:rPr>
        <w:t xml:space="preserve">О поощрении муниципальной </w:t>
      </w:r>
    </w:p>
    <w:p w14:paraId="34AD40FA" w14:textId="77777777" w:rsidR="009136E2" w:rsidRPr="003C0D61" w:rsidRDefault="009136E2" w:rsidP="003C0D61">
      <w:pPr>
        <w:pStyle w:val="a6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3C0D61">
        <w:rPr>
          <w:rFonts w:ascii="Times New Roman" w:hAnsi="Times New Roman" w:cs="Times New Roman"/>
          <w:b/>
          <w:sz w:val="26"/>
          <w:szCs w:val="26"/>
        </w:rPr>
        <w:t xml:space="preserve">управленческой команды Талдомского </w:t>
      </w:r>
    </w:p>
    <w:p w14:paraId="75A286EA" w14:textId="77777777" w:rsidR="009136E2" w:rsidRPr="003C0D61" w:rsidRDefault="009136E2" w:rsidP="003C0D61">
      <w:pPr>
        <w:pStyle w:val="a6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3C0D61">
        <w:rPr>
          <w:rFonts w:ascii="Times New Roman" w:hAnsi="Times New Roman" w:cs="Times New Roman"/>
          <w:b/>
          <w:sz w:val="26"/>
          <w:szCs w:val="26"/>
        </w:rPr>
        <w:t xml:space="preserve">городского округа за достижение Московской областью </w:t>
      </w:r>
    </w:p>
    <w:p w14:paraId="771EC5E0" w14:textId="77777777" w:rsidR="009136E2" w:rsidRPr="003C0D61" w:rsidRDefault="009136E2" w:rsidP="003C0D61">
      <w:pPr>
        <w:pStyle w:val="a6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3C0D61">
        <w:rPr>
          <w:rFonts w:ascii="Times New Roman" w:hAnsi="Times New Roman" w:cs="Times New Roman"/>
          <w:b/>
          <w:sz w:val="26"/>
          <w:szCs w:val="26"/>
        </w:rPr>
        <w:t xml:space="preserve">показателей деятельности исполнительных органов </w:t>
      </w:r>
    </w:p>
    <w:p w14:paraId="729A20C7" w14:textId="77777777" w:rsidR="009136E2" w:rsidRPr="003C0D61" w:rsidRDefault="009136E2" w:rsidP="003C0D61">
      <w:pPr>
        <w:pStyle w:val="a6"/>
        <w:ind w:left="142" w:firstLine="0"/>
        <w:rPr>
          <w:rFonts w:ascii="Times New Roman" w:hAnsi="Times New Roman" w:cs="Times New Roman"/>
          <w:b/>
          <w:sz w:val="26"/>
          <w:szCs w:val="26"/>
        </w:rPr>
      </w:pPr>
      <w:r w:rsidRPr="003C0D61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 в 2024 году</w:t>
      </w:r>
    </w:p>
    <w:p w14:paraId="4DC6D03A" w14:textId="77777777" w:rsidR="00A06104" w:rsidRPr="003C0D61" w:rsidRDefault="00A06104" w:rsidP="003C0D61">
      <w:pPr>
        <w:ind w:left="142"/>
        <w:rPr>
          <w:rFonts w:cs="Times New Roman"/>
          <w:b/>
          <w:sz w:val="26"/>
          <w:szCs w:val="26"/>
        </w:rPr>
      </w:pPr>
    </w:p>
    <w:p w14:paraId="0D86FAE6" w14:textId="77777777" w:rsidR="003C0D61" w:rsidRDefault="00A06104" w:rsidP="003C0D61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  <w:r w:rsidRPr="003C0D61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03129EEB" w14:textId="3E864A08" w:rsidR="009136E2" w:rsidRPr="007B0A21" w:rsidRDefault="009136E2" w:rsidP="00C264AF">
      <w:pPr>
        <w:pStyle w:val="a6"/>
        <w:ind w:left="14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B0A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Pr="007B0A21">
        <w:rPr>
          <w:rStyle w:val="ae"/>
          <w:rFonts w:ascii="Times New Roman" w:hAnsi="Times New Roman" w:cs="Times New Roman"/>
          <w:b w:val="0"/>
          <w:color w:val="000000" w:themeColor="text1"/>
          <w:sz w:val="26"/>
          <w:szCs w:val="26"/>
        </w:rPr>
        <w:t>Федеральным законом от 20.03.2025 № 33-ФЗ</w:t>
      </w:r>
      <w:r w:rsidRPr="007B0A2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 </w:t>
      </w:r>
      <w:r w:rsidRPr="007B0A21">
        <w:rPr>
          <w:rStyle w:val="ae"/>
          <w:rFonts w:ascii="Times New Roman" w:hAnsi="Times New Roman" w:cs="Times New Roman"/>
          <w:b w:val="0"/>
          <w:color w:val="000000" w:themeColor="text1"/>
          <w:sz w:val="26"/>
          <w:szCs w:val="26"/>
        </w:rPr>
        <w:t>«Об общих принципах организации местного самоуправления в единой системе публичной власти»</w:t>
      </w:r>
      <w:r w:rsidRPr="007B0A21">
        <w:rPr>
          <w:rStyle w:val="ae"/>
          <w:rFonts w:ascii="Times New Roman" w:hAnsi="Times New Roman" w:cs="Times New Roman"/>
          <w:color w:val="000000" w:themeColor="text1"/>
          <w:sz w:val="26"/>
          <w:szCs w:val="26"/>
        </w:rPr>
        <w:t>, У</w:t>
      </w:r>
      <w:r w:rsidRPr="007B0A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ставом Талдомского городского округа Московской области, рассмотрев обращение главы Талдомского городского округа Московской области, Совет депутатов Талдомского городского округа </w:t>
      </w:r>
      <w:r w:rsidR="007B0A21" w:rsidRPr="007B0A21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Московской области</w:t>
      </w:r>
    </w:p>
    <w:p w14:paraId="7C674993" w14:textId="77777777" w:rsidR="009136E2" w:rsidRPr="003C0D61" w:rsidRDefault="009136E2" w:rsidP="00C264AF">
      <w:pPr>
        <w:pStyle w:val="a6"/>
        <w:ind w:left="142" w:firstLine="567"/>
        <w:rPr>
          <w:rFonts w:ascii="Times New Roman" w:hAnsi="Times New Roman" w:cs="Times New Roman"/>
          <w:sz w:val="26"/>
          <w:szCs w:val="26"/>
        </w:rPr>
      </w:pPr>
    </w:p>
    <w:p w14:paraId="1A766970" w14:textId="77777777" w:rsidR="00A06104" w:rsidRPr="003C0D61" w:rsidRDefault="00A06104" w:rsidP="00C264AF">
      <w:pPr>
        <w:ind w:left="142" w:firstLine="567"/>
        <w:jc w:val="center"/>
        <w:rPr>
          <w:rFonts w:cs="Times New Roman"/>
          <w:b/>
          <w:sz w:val="26"/>
          <w:szCs w:val="26"/>
        </w:rPr>
      </w:pPr>
      <w:r w:rsidRPr="003C0D61">
        <w:rPr>
          <w:rFonts w:cs="Times New Roman"/>
          <w:b/>
          <w:sz w:val="26"/>
          <w:szCs w:val="26"/>
        </w:rPr>
        <w:t>РЕШИЛ:</w:t>
      </w:r>
    </w:p>
    <w:p w14:paraId="4BB7B458" w14:textId="77777777" w:rsidR="00A06104" w:rsidRPr="003C0D61" w:rsidRDefault="00A06104" w:rsidP="00C264AF">
      <w:pPr>
        <w:pStyle w:val="a6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A3FE38" w14:textId="79FFDD9C" w:rsidR="009136E2" w:rsidRPr="003C0D61" w:rsidRDefault="009136E2" w:rsidP="00C264AF">
      <w:pPr>
        <w:pStyle w:val="a6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D61">
        <w:rPr>
          <w:rFonts w:ascii="Times New Roman" w:hAnsi="Times New Roman" w:cs="Times New Roman"/>
          <w:sz w:val="26"/>
          <w:szCs w:val="26"/>
        </w:rPr>
        <w:t>1.Утвердить Порядок поощрении муниципальной управленческой команды Талдомского городского округа за достижение Московской областью показателей деятельности исполнительных органов субъектов Российской Федерации в 2024 году.</w:t>
      </w:r>
    </w:p>
    <w:p w14:paraId="005CB4BE" w14:textId="67E59BEF" w:rsidR="009136E2" w:rsidRPr="003C0D61" w:rsidRDefault="009136E2" w:rsidP="00C264AF">
      <w:pPr>
        <w:pStyle w:val="a6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D61">
        <w:rPr>
          <w:rFonts w:ascii="Times New Roman" w:hAnsi="Times New Roman" w:cs="Times New Roman"/>
          <w:sz w:val="26"/>
          <w:szCs w:val="26"/>
        </w:rPr>
        <w:t>2.Настоящее решение вступает в силу с момента его принятия.</w:t>
      </w:r>
    </w:p>
    <w:p w14:paraId="0B460CE4" w14:textId="0C4A334C" w:rsidR="00A06104" w:rsidRDefault="009136E2" w:rsidP="00C264AF">
      <w:pPr>
        <w:pStyle w:val="a6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D61">
        <w:rPr>
          <w:rFonts w:ascii="Times New Roman" w:hAnsi="Times New Roman" w:cs="Times New Roman"/>
          <w:sz w:val="26"/>
          <w:szCs w:val="26"/>
        </w:rPr>
        <w:t xml:space="preserve">3.Контроль исполнения настоящего решения возложить на председателя Совета депутатов Талдомского городского округа </w:t>
      </w:r>
      <w:r w:rsidR="003C0D61">
        <w:rPr>
          <w:rFonts w:ascii="Times New Roman" w:hAnsi="Times New Roman" w:cs="Times New Roman"/>
          <w:sz w:val="26"/>
          <w:szCs w:val="26"/>
        </w:rPr>
        <w:t xml:space="preserve">М.И. </w:t>
      </w:r>
      <w:r w:rsidRPr="003C0D61">
        <w:rPr>
          <w:rFonts w:ascii="Times New Roman" w:hAnsi="Times New Roman" w:cs="Times New Roman"/>
          <w:sz w:val="26"/>
          <w:szCs w:val="26"/>
        </w:rPr>
        <w:t>Аникеева</w:t>
      </w:r>
      <w:r w:rsidR="003C0D61">
        <w:rPr>
          <w:rFonts w:ascii="Times New Roman" w:hAnsi="Times New Roman" w:cs="Times New Roman"/>
          <w:sz w:val="26"/>
          <w:szCs w:val="26"/>
        </w:rPr>
        <w:t>.</w:t>
      </w:r>
    </w:p>
    <w:p w14:paraId="159E9938" w14:textId="77777777" w:rsidR="003C0D61" w:rsidRPr="003D0D44" w:rsidRDefault="003C0D61" w:rsidP="003C0D61">
      <w:pPr>
        <w:pStyle w:val="a6"/>
        <w:ind w:left="142" w:firstLine="709"/>
        <w:jc w:val="both"/>
        <w:rPr>
          <w:rFonts w:ascii="Times New Roman" w:hAnsi="Times New Roman"/>
          <w:sz w:val="26"/>
          <w:szCs w:val="26"/>
        </w:rPr>
      </w:pPr>
    </w:p>
    <w:p w14:paraId="77053BF3" w14:textId="77777777" w:rsidR="00A06104" w:rsidRPr="003D0D44" w:rsidRDefault="00A06104" w:rsidP="00A06104">
      <w:pPr>
        <w:jc w:val="both"/>
        <w:rPr>
          <w:sz w:val="26"/>
          <w:szCs w:val="26"/>
        </w:rPr>
      </w:pPr>
    </w:p>
    <w:p w14:paraId="1ED9D9C8" w14:textId="77777777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>Заместитель председателя Совета депутатов</w:t>
      </w:r>
    </w:p>
    <w:p w14:paraId="268494EA" w14:textId="52F16843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Талдомского городского округа                                                                 </w:t>
      </w:r>
      <w:r>
        <w:rPr>
          <w:sz w:val="26"/>
          <w:szCs w:val="26"/>
        </w:rPr>
        <w:t xml:space="preserve">      </w:t>
      </w:r>
      <w:r w:rsidRPr="00971B40">
        <w:rPr>
          <w:sz w:val="26"/>
          <w:szCs w:val="26"/>
        </w:rPr>
        <w:t xml:space="preserve"> Е.М. Страхова</w:t>
      </w:r>
    </w:p>
    <w:p w14:paraId="4751A4E2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222F3DB5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095F06CC" w14:textId="5FC63BCF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Глава Талдомского городского округа                                                  </w:t>
      </w:r>
      <w:r w:rsidR="00692A27">
        <w:rPr>
          <w:sz w:val="26"/>
          <w:szCs w:val="26"/>
        </w:rPr>
        <w:t xml:space="preserve">  </w:t>
      </w:r>
      <w:r w:rsidRPr="00971B4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Pr="00971B40">
        <w:rPr>
          <w:sz w:val="26"/>
          <w:szCs w:val="26"/>
        </w:rPr>
        <w:t xml:space="preserve">  Ю.В. Крупенин</w:t>
      </w:r>
    </w:p>
    <w:p w14:paraId="034F06CB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09C44056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1C1E6FCA" w14:textId="77777777" w:rsidR="00A06104" w:rsidRDefault="00A06104" w:rsidP="00836C88">
      <w:pPr>
        <w:ind w:firstLine="142"/>
        <w:rPr>
          <w:rFonts w:cs="Times New Roman"/>
          <w:sz w:val="18"/>
          <w:szCs w:val="18"/>
        </w:rPr>
      </w:pPr>
    </w:p>
    <w:p w14:paraId="2E61477B" w14:textId="77777777" w:rsidR="00616952" w:rsidRDefault="00616952" w:rsidP="00836C88">
      <w:pPr>
        <w:ind w:firstLine="142"/>
        <w:rPr>
          <w:rFonts w:cs="Times New Roman"/>
          <w:sz w:val="18"/>
          <w:szCs w:val="18"/>
        </w:rPr>
      </w:pPr>
    </w:p>
    <w:p w14:paraId="795428C6" w14:textId="77777777" w:rsidR="003C0D61" w:rsidRDefault="003C0D61" w:rsidP="00836C88">
      <w:pPr>
        <w:ind w:firstLine="142"/>
        <w:rPr>
          <w:rFonts w:cs="Times New Roman"/>
          <w:sz w:val="18"/>
          <w:szCs w:val="18"/>
        </w:rPr>
      </w:pPr>
    </w:p>
    <w:p w14:paraId="514AAC50" w14:textId="77777777" w:rsidR="00757ED7" w:rsidRDefault="00757ED7" w:rsidP="00836C88">
      <w:pPr>
        <w:ind w:firstLine="142"/>
        <w:rPr>
          <w:rFonts w:cs="Times New Roman"/>
          <w:sz w:val="18"/>
          <w:szCs w:val="18"/>
        </w:rPr>
      </w:pPr>
    </w:p>
    <w:p w14:paraId="6CDFB102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6FF00EDA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p w14:paraId="6776B0D6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p w14:paraId="4F6AF475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p w14:paraId="553109DD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p w14:paraId="55544990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p w14:paraId="1D96F0D5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p w14:paraId="34E03244" w14:textId="77777777" w:rsidR="00211988" w:rsidRPr="00211988" w:rsidRDefault="00211988" w:rsidP="00211988">
      <w:pPr>
        <w:ind w:left="6372"/>
        <w:jc w:val="right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lastRenderedPageBreak/>
        <w:t xml:space="preserve">     Приложение </w:t>
      </w:r>
    </w:p>
    <w:p w14:paraId="17F537FE" w14:textId="77777777" w:rsidR="00211988" w:rsidRPr="00211988" w:rsidRDefault="00211988" w:rsidP="00211988">
      <w:pPr>
        <w:ind w:left="6372"/>
        <w:jc w:val="right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к решению Совета депутатов Талдомского городского округа</w:t>
      </w:r>
    </w:p>
    <w:p w14:paraId="3571C438" w14:textId="77777777" w:rsidR="00211988" w:rsidRPr="00211988" w:rsidRDefault="00211988" w:rsidP="00211988">
      <w:pPr>
        <w:jc w:val="right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от 30 10.2025 г. № 85</w:t>
      </w:r>
    </w:p>
    <w:p w14:paraId="688173FB" w14:textId="77777777" w:rsidR="00211988" w:rsidRPr="00211988" w:rsidRDefault="00211988" w:rsidP="00211988">
      <w:pPr>
        <w:jc w:val="center"/>
        <w:rPr>
          <w:rFonts w:eastAsia="Times New Roman" w:cs="Times New Roman"/>
          <w:szCs w:val="24"/>
          <w:lang w:eastAsia="ru-RU"/>
        </w:rPr>
      </w:pPr>
    </w:p>
    <w:p w14:paraId="494B43A4" w14:textId="77777777" w:rsidR="00211988" w:rsidRPr="00211988" w:rsidRDefault="00211988" w:rsidP="00211988">
      <w:pPr>
        <w:jc w:val="center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ПОРЯДОК</w:t>
      </w:r>
    </w:p>
    <w:p w14:paraId="676ED426" w14:textId="77777777" w:rsidR="00211988" w:rsidRPr="00211988" w:rsidRDefault="00211988" w:rsidP="00211988">
      <w:pPr>
        <w:ind w:firstLine="708"/>
        <w:jc w:val="center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поощрения муниципальной управленческой команды Талдомского городского округа,</w:t>
      </w:r>
    </w:p>
    <w:p w14:paraId="21CDB363" w14:textId="77777777" w:rsidR="00211988" w:rsidRPr="00211988" w:rsidRDefault="00211988" w:rsidP="00211988">
      <w:pPr>
        <w:ind w:firstLine="708"/>
        <w:jc w:val="center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за достижение Московской областью показателей деятельности исполнительных органов субъектов Российской Федерации в 2024 году</w:t>
      </w:r>
    </w:p>
    <w:p w14:paraId="6B67A0EC" w14:textId="77777777" w:rsidR="00211988" w:rsidRPr="00211988" w:rsidRDefault="00211988" w:rsidP="00211988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14:paraId="01957446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 xml:space="preserve">1. Настоящий Порядок разработан в целях поощрения муниципальной управленческой команды Талдомского городского округа Московской области за достижение Московской областью показателей для оценки эффективности деятельности исполнительных органов субъектов Российской Федерации в 2024 году и обеспечения награждения должностных лиц – участников муниципальной команды (далее – достижение показателей для оценки эффективности деятельности, показатели для оценки эффективности деятельности). </w:t>
      </w:r>
    </w:p>
    <w:p w14:paraId="5D9A62B1" w14:textId="3FC77DA0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 xml:space="preserve">2. Под муниципальной управленческой командой Талдомского городского </w:t>
      </w:r>
      <w:bookmarkStart w:id="0" w:name="_GoBack"/>
      <w:bookmarkEnd w:id="0"/>
      <w:r w:rsidRPr="00211988">
        <w:rPr>
          <w:rFonts w:eastAsia="Times New Roman" w:cs="Times New Roman"/>
          <w:szCs w:val="24"/>
          <w:lang w:eastAsia="ru-RU"/>
        </w:rPr>
        <w:t>округа Московской</w:t>
      </w:r>
      <w:r w:rsidRPr="00211988">
        <w:rPr>
          <w:rFonts w:eastAsia="Times New Roman" w:cs="Times New Roman"/>
          <w:szCs w:val="24"/>
          <w:lang w:eastAsia="ru-RU"/>
        </w:rPr>
        <w:t xml:space="preserve"> области понимается группа должностных лиц, замещающих должности муниципальной службы, работников органа местного самоуправления Талдомского городского округа Московской области, не являющихся муниципальными служащими, в соответствии с решением главы Талдомского городского округа Московской области, деятельность которых способствовала достижению значений (уровней) показателей эффективности деятельности. </w:t>
      </w:r>
    </w:p>
    <w:p w14:paraId="06C9022A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 xml:space="preserve">3. Поощрение муниципальной управленческой команды осуществляется в виде премии должностным лицам из состава муниципальной управленческой команды. </w:t>
      </w:r>
    </w:p>
    <w:p w14:paraId="6864A660" w14:textId="77777777" w:rsidR="00211988" w:rsidRPr="00211988" w:rsidRDefault="00211988" w:rsidP="00211988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4. При принятии решения о премировании должностных лиц из состава муниципальной управленческой команды учитывается выполнение должностных обязанностей или управление в сферах, связанных с достижением значений (уровней) показателей эффективности деятельности «Уровень доверия к власти», «Объем инвестиций в основной капитал (без учета бюджетных средств)», «Прирост численности населения», «Темп роста (индекс роста) реальной среднемесячной заработной платы», «Уровень образования», «Эффективность системы выявления, поддержки и развития способностей и талантов у детей и молодежи», «Количество семей, улучшивших жилищные условия», «Объем жилищного строительства», «Индекс качества городской среды», «качество окружающей среды», «Цифровая зрелость» и вклад должностного лица в достижение значений (уровней) показателей эффективности деятельности.</w:t>
      </w:r>
    </w:p>
    <w:p w14:paraId="784F95A7" w14:textId="1ED7AA9F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5. Источником финансового обеспечения выплаты премий являются «Иные межбюджетные трансферты, передаваемые бюджетам городских округов на поощрение муниципальных управленческих команд» (далее «</w:t>
      </w:r>
      <w:r w:rsidRPr="00211988">
        <w:rPr>
          <w:rFonts w:eastAsia="Times New Roman" w:cs="Times New Roman"/>
          <w:szCs w:val="24"/>
          <w:lang w:eastAsia="ru-RU"/>
        </w:rPr>
        <w:t>Иные МБТ</w:t>
      </w:r>
      <w:r w:rsidRPr="00211988">
        <w:rPr>
          <w:rFonts w:eastAsia="Times New Roman" w:cs="Times New Roman"/>
          <w:szCs w:val="24"/>
          <w:lang w:eastAsia="ru-RU"/>
        </w:rPr>
        <w:t>»), предоставляемые из бюджета Московской области бюджету Талдомского городского округа Московской области.</w:t>
      </w:r>
    </w:p>
    <w:p w14:paraId="202D0D46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6. Иные МБТ направляются на расходы, связанные с выплатами премий должностным лицам муниципальной управленческой команды и на уплату страховых взносов в внебюджетные фонды, начисляемых на суммы премий.</w:t>
      </w:r>
    </w:p>
    <w:p w14:paraId="7B62F597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7. Не допускается снижение иных выплат должностным лицам из состава муниципальной управленческой команды в связи с выплатой премии.</w:t>
      </w:r>
    </w:p>
    <w:p w14:paraId="1E74A6C8" w14:textId="77777777" w:rsidR="00211988" w:rsidRPr="00211988" w:rsidRDefault="00211988" w:rsidP="00211988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8. Выплата премий должна быть осуществлена не позднее 26.12.2025.</w:t>
      </w:r>
    </w:p>
    <w:p w14:paraId="7C2F031F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9. В целях реализации настоящего Порядка:</w:t>
      </w:r>
    </w:p>
    <w:p w14:paraId="3297AC81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9.1. в отношении главы Талдомского городского округа Московской области принимается решение Совета депутатов Талдомского городского округа Московской области, определяющее размер премии с учетом вклада, способствовавшего достижению муниципальных показателей;</w:t>
      </w:r>
    </w:p>
    <w:p w14:paraId="7FC1AE98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9.2. в отношении иных должностных лиц муниципальной управленческой команды принимается распоряжение главы Талдомского городского округа Московской области определяющий:</w:t>
      </w:r>
    </w:p>
    <w:p w14:paraId="44540656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 xml:space="preserve">- персональный состав должностных лиц муниципальной управленческой команды; </w:t>
      </w:r>
    </w:p>
    <w:p w14:paraId="6683FAAA" w14:textId="77777777" w:rsidR="00211988" w:rsidRPr="00211988" w:rsidRDefault="00211988" w:rsidP="00211988">
      <w:pPr>
        <w:ind w:firstLine="709"/>
        <w:contextualSpacing/>
        <w:jc w:val="both"/>
        <w:rPr>
          <w:rFonts w:eastAsia="Times New Roman" w:cs="Times New Roman"/>
          <w:sz w:val="20"/>
          <w:szCs w:val="24"/>
          <w:lang w:eastAsia="ru-RU"/>
        </w:rPr>
      </w:pPr>
      <w:r w:rsidRPr="00211988">
        <w:rPr>
          <w:rFonts w:eastAsia="Times New Roman" w:cs="Times New Roman"/>
          <w:szCs w:val="24"/>
          <w:lang w:eastAsia="ru-RU"/>
        </w:rPr>
        <w:t>- размер премии должностных лиц муниципальной управленческой команды с учетом вклада, способствовавшего достижению муниципальных показателей.</w:t>
      </w:r>
    </w:p>
    <w:p w14:paraId="42A1D4D9" w14:textId="77777777" w:rsidR="00211988" w:rsidRDefault="00211988" w:rsidP="00836C88">
      <w:pPr>
        <w:ind w:firstLine="142"/>
        <w:rPr>
          <w:rFonts w:cs="Times New Roman"/>
          <w:sz w:val="18"/>
          <w:szCs w:val="18"/>
        </w:rPr>
      </w:pPr>
    </w:p>
    <w:sectPr w:rsidR="00211988" w:rsidSect="00616952">
      <w:headerReference w:type="default" r:id="rId9"/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94C17" w14:textId="77777777" w:rsidR="0049218E" w:rsidRDefault="0049218E" w:rsidP="001A6ED3">
      <w:r>
        <w:separator/>
      </w:r>
    </w:p>
  </w:endnote>
  <w:endnote w:type="continuationSeparator" w:id="0">
    <w:p w14:paraId="180BA57F" w14:textId="77777777" w:rsidR="0049218E" w:rsidRDefault="0049218E" w:rsidP="001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4428" w14:textId="77777777" w:rsidR="0049218E" w:rsidRDefault="0049218E" w:rsidP="001A6ED3">
      <w:r>
        <w:separator/>
      </w:r>
    </w:p>
  </w:footnote>
  <w:footnote w:type="continuationSeparator" w:id="0">
    <w:p w14:paraId="0A6DC0A2" w14:textId="77777777" w:rsidR="0049218E" w:rsidRDefault="0049218E" w:rsidP="001A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D44C" w14:textId="7DDEDC6F" w:rsidR="001A6ED3" w:rsidRDefault="001A6ED3" w:rsidP="001A6E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47A"/>
    <w:multiLevelType w:val="multilevel"/>
    <w:tmpl w:val="7F7E7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F919F1"/>
    <w:multiLevelType w:val="multilevel"/>
    <w:tmpl w:val="E528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3765D"/>
    <w:rsid w:val="000416B5"/>
    <w:rsid w:val="000424AC"/>
    <w:rsid w:val="00051402"/>
    <w:rsid w:val="00051D7D"/>
    <w:rsid w:val="0007363C"/>
    <w:rsid w:val="000911BD"/>
    <w:rsid w:val="00093858"/>
    <w:rsid w:val="000A52FE"/>
    <w:rsid w:val="000A7175"/>
    <w:rsid w:val="000A78B9"/>
    <w:rsid w:val="000B2FEF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A6ED3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112AA"/>
    <w:rsid w:val="00211988"/>
    <w:rsid w:val="0022629A"/>
    <w:rsid w:val="002275FA"/>
    <w:rsid w:val="00260BF8"/>
    <w:rsid w:val="00270BBE"/>
    <w:rsid w:val="0027484D"/>
    <w:rsid w:val="00277EAC"/>
    <w:rsid w:val="002843CF"/>
    <w:rsid w:val="00290EFC"/>
    <w:rsid w:val="002933D8"/>
    <w:rsid w:val="002A1248"/>
    <w:rsid w:val="002A5DBF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02D57"/>
    <w:rsid w:val="00322050"/>
    <w:rsid w:val="0032473E"/>
    <w:rsid w:val="00330AE5"/>
    <w:rsid w:val="003344CA"/>
    <w:rsid w:val="00341D83"/>
    <w:rsid w:val="00343892"/>
    <w:rsid w:val="003500A3"/>
    <w:rsid w:val="00354831"/>
    <w:rsid w:val="00357088"/>
    <w:rsid w:val="00364FC0"/>
    <w:rsid w:val="00367779"/>
    <w:rsid w:val="003724C7"/>
    <w:rsid w:val="0037336C"/>
    <w:rsid w:val="00375CF9"/>
    <w:rsid w:val="00390F04"/>
    <w:rsid w:val="00392144"/>
    <w:rsid w:val="0039247E"/>
    <w:rsid w:val="00392625"/>
    <w:rsid w:val="003C0D61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218E"/>
    <w:rsid w:val="00493F1A"/>
    <w:rsid w:val="00497653"/>
    <w:rsid w:val="00497E1B"/>
    <w:rsid w:val="004A2BAC"/>
    <w:rsid w:val="004A683D"/>
    <w:rsid w:val="004B12BD"/>
    <w:rsid w:val="004B2126"/>
    <w:rsid w:val="004B4A74"/>
    <w:rsid w:val="004D3728"/>
    <w:rsid w:val="004E5671"/>
    <w:rsid w:val="004E60FA"/>
    <w:rsid w:val="004E6A11"/>
    <w:rsid w:val="00506DA0"/>
    <w:rsid w:val="00514A29"/>
    <w:rsid w:val="0052112B"/>
    <w:rsid w:val="005334AA"/>
    <w:rsid w:val="005359A0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16952"/>
    <w:rsid w:val="006314C6"/>
    <w:rsid w:val="006537CA"/>
    <w:rsid w:val="006568AE"/>
    <w:rsid w:val="00661C2F"/>
    <w:rsid w:val="00672D5E"/>
    <w:rsid w:val="0067679E"/>
    <w:rsid w:val="00686794"/>
    <w:rsid w:val="00692A27"/>
    <w:rsid w:val="00696195"/>
    <w:rsid w:val="006A6698"/>
    <w:rsid w:val="006B7F17"/>
    <w:rsid w:val="006C0143"/>
    <w:rsid w:val="006C569C"/>
    <w:rsid w:val="006E08FD"/>
    <w:rsid w:val="006E7EA9"/>
    <w:rsid w:val="006F0D1A"/>
    <w:rsid w:val="00701AEB"/>
    <w:rsid w:val="00702C7A"/>
    <w:rsid w:val="00706AC7"/>
    <w:rsid w:val="00721729"/>
    <w:rsid w:val="0072322E"/>
    <w:rsid w:val="00741F52"/>
    <w:rsid w:val="0074289A"/>
    <w:rsid w:val="00757ED7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B0A21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C88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C2F8D"/>
    <w:rsid w:val="008D2690"/>
    <w:rsid w:val="008D3556"/>
    <w:rsid w:val="008E53B4"/>
    <w:rsid w:val="008E6844"/>
    <w:rsid w:val="008E71BF"/>
    <w:rsid w:val="0090697E"/>
    <w:rsid w:val="00911D77"/>
    <w:rsid w:val="009133A9"/>
    <w:rsid w:val="009136E2"/>
    <w:rsid w:val="00932C4A"/>
    <w:rsid w:val="00951C52"/>
    <w:rsid w:val="0095679F"/>
    <w:rsid w:val="00966E7C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06104"/>
    <w:rsid w:val="00A20BF0"/>
    <w:rsid w:val="00A328A9"/>
    <w:rsid w:val="00A410E0"/>
    <w:rsid w:val="00A53DA1"/>
    <w:rsid w:val="00A60FF6"/>
    <w:rsid w:val="00A6128F"/>
    <w:rsid w:val="00A61D52"/>
    <w:rsid w:val="00A76C9A"/>
    <w:rsid w:val="00A779EF"/>
    <w:rsid w:val="00AA5866"/>
    <w:rsid w:val="00AA63AC"/>
    <w:rsid w:val="00AB1E5C"/>
    <w:rsid w:val="00AB35BE"/>
    <w:rsid w:val="00AB51BA"/>
    <w:rsid w:val="00AC11A9"/>
    <w:rsid w:val="00AC6455"/>
    <w:rsid w:val="00AE5CE5"/>
    <w:rsid w:val="00AF12BE"/>
    <w:rsid w:val="00AF2DB8"/>
    <w:rsid w:val="00B0412D"/>
    <w:rsid w:val="00B20A60"/>
    <w:rsid w:val="00B24E5D"/>
    <w:rsid w:val="00B24FA3"/>
    <w:rsid w:val="00B31D06"/>
    <w:rsid w:val="00B41002"/>
    <w:rsid w:val="00B432F4"/>
    <w:rsid w:val="00B44219"/>
    <w:rsid w:val="00B50939"/>
    <w:rsid w:val="00B71AA0"/>
    <w:rsid w:val="00B84B53"/>
    <w:rsid w:val="00B85463"/>
    <w:rsid w:val="00B90E27"/>
    <w:rsid w:val="00B915BA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264AF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465A"/>
    <w:rsid w:val="00CB3434"/>
    <w:rsid w:val="00CB4663"/>
    <w:rsid w:val="00CB52E9"/>
    <w:rsid w:val="00CC02A4"/>
    <w:rsid w:val="00CE1CD3"/>
    <w:rsid w:val="00CE3ED4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0BE9"/>
    <w:rsid w:val="00D553C3"/>
    <w:rsid w:val="00D72A09"/>
    <w:rsid w:val="00D73DBB"/>
    <w:rsid w:val="00D7553A"/>
    <w:rsid w:val="00D85367"/>
    <w:rsid w:val="00D9269C"/>
    <w:rsid w:val="00D97550"/>
    <w:rsid w:val="00DA2918"/>
    <w:rsid w:val="00DB4B4F"/>
    <w:rsid w:val="00DB642E"/>
    <w:rsid w:val="00DC3601"/>
    <w:rsid w:val="00DC5846"/>
    <w:rsid w:val="00DD14C8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4769"/>
    <w:rsid w:val="00F363D6"/>
    <w:rsid w:val="00F40AFF"/>
    <w:rsid w:val="00F503CE"/>
    <w:rsid w:val="00F54BE4"/>
    <w:rsid w:val="00F645FF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44EE"/>
  <w15:docId w15:val="{7436996F-3E21-462C-BE4A-6D7B66D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6ED3"/>
  </w:style>
  <w:style w:type="paragraph" w:styleId="ac">
    <w:name w:val="footer"/>
    <w:basedOn w:val="a"/>
    <w:link w:val="ad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6ED3"/>
  </w:style>
  <w:style w:type="character" w:styleId="ae">
    <w:name w:val="Strong"/>
    <w:basedOn w:val="a0"/>
    <w:uiPriority w:val="22"/>
    <w:qFormat/>
    <w:rsid w:val="0091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F389E-958F-49BE-A545-436C362E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2025-10-06T08:47:00Z</cp:lastPrinted>
  <dcterms:created xsi:type="dcterms:W3CDTF">2025-10-28T13:40:00Z</dcterms:created>
  <dcterms:modified xsi:type="dcterms:W3CDTF">2025-11-06T13:58:00Z</dcterms:modified>
</cp:coreProperties>
</file>