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413EA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 xml:space="preserve">_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392">
        <w:rPr>
          <w:rFonts w:ascii="Times New Roman" w:hAnsi="Times New Roman" w:cs="Times New Roman"/>
          <w:sz w:val="28"/>
          <w:szCs w:val="28"/>
        </w:rPr>
        <w:t xml:space="preserve">    №__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55DD3" w:rsidRDefault="00C55DD3" w:rsidP="00C55DD3">
      <w:pPr>
        <w:spacing w:line="276" w:lineRule="auto"/>
        <w:ind w:left="142" w:right="4110"/>
        <w:rPr>
          <w:b/>
        </w:rPr>
      </w:pPr>
      <w:r w:rsidRPr="009515BB">
        <w:rPr>
          <w:b/>
        </w:rPr>
        <w:t xml:space="preserve">О </w:t>
      </w:r>
      <w:r>
        <w:rPr>
          <w:b/>
        </w:rPr>
        <w:t xml:space="preserve">согласовании принятия в муниципальную   собственность Талдомского городского округа </w:t>
      </w:r>
    </w:p>
    <w:p w:rsidR="00C55DD3" w:rsidRDefault="00C55DD3" w:rsidP="00C55DD3">
      <w:pPr>
        <w:spacing w:line="276" w:lineRule="auto"/>
        <w:ind w:right="-141"/>
      </w:pPr>
      <w:r>
        <w:rPr>
          <w:b/>
        </w:rPr>
        <w:t xml:space="preserve">   движимого имущества </w:t>
      </w:r>
    </w:p>
    <w:p w:rsidR="00C55DD3" w:rsidRDefault="00C55DD3" w:rsidP="00C55DD3">
      <w:pPr>
        <w:spacing w:line="276" w:lineRule="auto"/>
        <w:ind w:left="142" w:hanging="142"/>
        <w:jc w:val="both"/>
      </w:pPr>
      <w:r>
        <w:tab/>
      </w:r>
      <w:r>
        <w:tab/>
      </w:r>
    </w:p>
    <w:p w:rsidR="00C55DD3" w:rsidRDefault="00C55DD3" w:rsidP="00C55DD3">
      <w:pPr>
        <w:spacing w:line="276" w:lineRule="auto"/>
        <w:ind w:left="142" w:hanging="142"/>
        <w:jc w:val="both"/>
      </w:pPr>
      <w:r>
        <w:tab/>
      </w:r>
      <w: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ст. 47 Устава Талдомского городского округа, рассмотрев обращение главы Талдомского городского округа Московской области от 17 сентября 2025 г. № 2489, Совет депутатов Талдомского городского округа</w:t>
      </w:r>
    </w:p>
    <w:p w:rsidR="00C55DD3" w:rsidRPr="002217EB" w:rsidRDefault="00C55DD3" w:rsidP="00C55DD3">
      <w:pPr>
        <w:spacing w:line="276" w:lineRule="auto"/>
        <w:ind w:right="-141"/>
        <w:jc w:val="both"/>
        <w:rPr>
          <w:sz w:val="16"/>
          <w:szCs w:val="16"/>
        </w:rPr>
      </w:pPr>
    </w:p>
    <w:p w:rsidR="00C55DD3" w:rsidRDefault="00C55DD3" w:rsidP="00C55DD3">
      <w:pPr>
        <w:spacing w:line="276" w:lineRule="auto"/>
        <w:ind w:right="-141"/>
        <w:jc w:val="center"/>
        <w:rPr>
          <w:b/>
        </w:rPr>
      </w:pPr>
      <w:r w:rsidRPr="002614DD">
        <w:rPr>
          <w:b/>
        </w:rPr>
        <w:t>РЕШИЛ:</w:t>
      </w:r>
    </w:p>
    <w:p w:rsidR="00C55DD3" w:rsidRPr="002217EB" w:rsidRDefault="00C55DD3" w:rsidP="00C55DD3">
      <w:pPr>
        <w:spacing w:line="276" w:lineRule="auto"/>
        <w:ind w:right="-141"/>
        <w:jc w:val="both"/>
        <w:rPr>
          <w:b/>
          <w:sz w:val="16"/>
          <w:szCs w:val="16"/>
        </w:rPr>
      </w:pPr>
    </w:p>
    <w:p w:rsidR="00C55DD3" w:rsidRDefault="00C55DD3" w:rsidP="00C55DD3">
      <w:pPr>
        <w:spacing w:line="276" w:lineRule="auto"/>
        <w:ind w:firstLine="709"/>
        <w:jc w:val="both"/>
      </w:pPr>
      <w:r w:rsidRPr="0055202A">
        <w:t xml:space="preserve">1. </w:t>
      </w:r>
      <w:r>
        <w:t xml:space="preserve">Согласовать принятие в муниципальную собственность Талдомского городского округа Московской </w:t>
      </w:r>
      <w:bookmarkStart w:id="0" w:name="_Hlk190427868"/>
      <w:r>
        <w:t xml:space="preserve">области </w:t>
      </w:r>
      <w:r w:rsidRPr="00344AF0">
        <w:rPr>
          <w:rFonts w:cs="Times New Roman"/>
        </w:rPr>
        <w:t>и определить в казну движимое имущество –</w:t>
      </w:r>
      <w:r>
        <w:t xml:space="preserve"> интерактивные панели (инвентарные номера: 10134029352, 10134029353,  10134029354, 10134029355, 10134029356, 10134029357, 10134029358, 10134029359, 10134029360, 10134029361, 10134029362) в количестве 11 штук. </w:t>
      </w:r>
      <w:bookmarkEnd w:id="0"/>
    </w:p>
    <w:p w:rsidR="00C55DD3" w:rsidRPr="0055202A" w:rsidRDefault="00C55DD3" w:rsidP="00C55DD3">
      <w:pPr>
        <w:spacing w:line="276" w:lineRule="auto"/>
        <w:ind w:firstLine="709"/>
        <w:jc w:val="both"/>
      </w:pPr>
      <w:r>
        <w:t>2</w:t>
      </w:r>
      <w:r w:rsidRPr="0055202A">
        <w:t>. Контроль исполнени</w:t>
      </w:r>
      <w:r>
        <w:t>я</w:t>
      </w:r>
      <w:r w:rsidRPr="0055202A"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C55DD3" w:rsidRPr="0055202A" w:rsidRDefault="00C55DD3" w:rsidP="00C55DD3">
      <w:pPr>
        <w:spacing w:line="276" w:lineRule="auto"/>
        <w:ind w:right="-283"/>
        <w:jc w:val="both"/>
      </w:pPr>
    </w:p>
    <w:p w:rsidR="00C55DD3" w:rsidRDefault="00C55DD3" w:rsidP="00C55DD3">
      <w:pPr>
        <w:jc w:val="both"/>
        <w:rPr>
          <w:rFonts w:cs="Times New Roman"/>
        </w:rPr>
      </w:pPr>
    </w:p>
    <w:p w:rsidR="00C55DD3" w:rsidRDefault="00C55DD3" w:rsidP="00C55DD3">
      <w:pPr>
        <w:jc w:val="both"/>
        <w:rPr>
          <w:rFonts w:cs="Times New Roman"/>
        </w:rPr>
      </w:pPr>
      <w:r>
        <w:rPr>
          <w:rFonts w:cs="Times New Roman"/>
        </w:rPr>
        <w:t>Председатель Совета депутатов</w:t>
      </w:r>
    </w:p>
    <w:p w:rsidR="00C55DD3" w:rsidRDefault="00C55DD3" w:rsidP="00C55DD3">
      <w:pPr>
        <w:tabs>
          <w:tab w:val="left" w:pos="7288"/>
        </w:tabs>
        <w:jc w:val="both"/>
        <w:rPr>
          <w:rFonts w:cs="Times New Roman"/>
        </w:rPr>
      </w:pPr>
      <w:r>
        <w:rPr>
          <w:rFonts w:cs="Times New Roman"/>
        </w:rPr>
        <w:t>Талдомского городского округа</w:t>
      </w:r>
      <w:r>
        <w:rPr>
          <w:rFonts w:cs="Times New Roman"/>
        </w:rPr>
        <w:tab/>
        <w:t xml:space="preserve">                 М.И. Аникеев</w:t>
      </w:r>
    </w:p>
    <w:p w:rsidR="00C55DD3" w:rsidRDefault="00C55DD3" w:rsidP="00C55DD3">
      <w:pPr>
        <w:jc w:val="both"/>
        <w:rPr>
          <w:rFonts w:cs="Times New Roman"/>
        </w:rPr>
      </w:pPr>
    </w:p>
    <w:p w:rsidR="00C55DD3" w:rsidRDefault="00C55DD3" w:rsidP="00C55DD3">
      <w:pPr>
        <w:jc w:val="both"/>
        <w:rPr>
          <w:rFonts w:cs="Times New Roman"/>
        </w:rPr>
      </w:pPr>
    </w:p>
    <w:p w:rsidR="00C55DD3" w:rsidRDefault="00C55DD3" w:rsidP="00C55DD3">
      <w:pPr>
        <w:jc w:val="both"/>
        <w:rPr>
          <w:rFonts w:cs="Times New Roman"/>
        </w:rPr>
      </w:pPr>
      <w:r>
        <w:rPr>
          <w:rFonts w:cs="Times New Roman"/>
        </w:rPr>
        <w:t xml:space="preserve">Глава Талдомского </w:t>
      </w:r>
    </w:p>
    <w:p w:rsidR="00C55DD3" w:rsidRDefault="00C55DD3" w:rsidP="00C55DD3">
      <w:pPr>
        <w:jc w:val="both"/>
        <w:rPr>
          <w:rFonts w:cs="Times New Roman"/>
        </w:rPr>
      </w:pPr>
      <w:r>
        <w:rPr>
          <w:rFonts w:cs="Times New Roman"/>
        </w:rPr>
        <w:t>городского округа                                                                                                           Ю.В. Крупенин</w:t>
      </w:r>
    </w:p>
    <w:p w:rsidR="00C55DD3" w:rsidRDefault="00C55DD3" w:rsidP="00C55DD3">
      <w:pPr>
        <w:jc w:val="both"/>
        <w:rPr>
          <w:rFonts w:cs="Times New Roman"/>
        </w:rPr>
      </w:pPr>
    </w:p>
    <w:p w:rsidR="00C55DD3" w:rsidRDefault="00C55DD3" w:rsidP="00C55DD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5DD3" w:rsidRDefault="00C55DD3" w:rsidP="00C55DD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6DED" w:rsidRDefault="00346DED" w:rsidP="00C55DD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  <w:sectPr w:rsidR="00346DED" w:rsidSect="0037501E">
          <w:pgSz w:w="11906" w:h="16838"/>
          <w:pgMar w:top="1134" w:right="566" w:bottom="284" w:left="1276" w:header="708" w:footer="708" w:gutter="0"/>
          <w:cols w:space="708"/>
          <w:docGrid w:linePitch="360"/>
        </w:sectPr>
      </w:pPr>
    </w:p>
    <w:p w:rsidR="00346DED" w:rsidRPr="00346DED" w:rsidRDefault="00346DED" w:rsidP="00346DED">
      <w:pPr>
        <w:autoSpaceDE w:val="0"/>
        <w:autoSpaceDN w:val="0"/>
        <w:ind w:left="12616"/>
        <w:rPr>
          <w:rFonts w:eastAsia="Times New Roman" w:cs="Times New Roman"/>
          <w:sz w:val="22"/>
          <w:lang w:eastAsia="ru-RU"/>
        </w:rPr>
      </w:pPr>
      <w:r w:rsidRPr="00346DED">
        <w:rPr>
          <w:rFonts w:eastAsia="Times New Roman" w:cs="Times New Roman"/>
          <w:sz w:val="22"/>
          <w:lang w:eastAsia="ru-RU"/>
        </w:rPr>
        <w:lastRenderedPageBreak/>
        <w:t xml:space="preserve">Приложение </w:t>
      </w:r>
    </w:p>
    <w:p w:rsidR="00346DED" w:rsidRPr="00346DED" w:rsidRDefault="00346DED" w:rsidP="00346DED">
      <w:pPr>
        <w:autoSpaceDE w:val="0"/>
        <w:autoSpaceDN w:val="0"/>
        <w:ind w:left="12758" w:hanging="142"/>
        <w:rPr>
          <w:rFonts w:eastAsia="Times New Roman" w:cs="Times New Roman"/>
          <w:sz w:val="22"/>
          <w:lang w:eastAsia="ru-RU"/>
        </w:rPr>
      </w:pPr>
      <w:r w:rsidRPr="00346DED">
        <w:rPr>
          <w:rFonts w:eastAsia="Times New Roman" w:cs="Times New Roman"/>
          <w:sz w:val="22"/>
          <w:lang w:eastAsia="ru-RU"/>
        </w:rPr>
        <w:t>к решению Совета депутатов</w:t>
      </w:r>
    </w:p>
    <w:p w:rsidR="00346DED" w:rsidRPr="00346DED" w:rsidRDefault="00346DED" w:rsidP="00346DED">
      <w:pPr>
        <w:autoSpaceDE w:val="0"/>
        <w:autoSpaceDN w:val="0"/>
        <w:ind w:left="12616"/>
        <w:rPr>
          <w:rFonts w:eastAsia="Times New Roman" w:cs="Times New Roman"/>
          <w:sz w:val="20"/>
          <w:szCs w:val="20"/>
          <w:lang w:eastAsia="ru-RU"/>
        </w:rPr>
      </w:pPr>
      <w:r w:rsidRPr="00346DED">
        <w:rPr>
          <w:rFonts w:eastAsia="Times New Roman" w:cs="Times New Roman"/>
          <w:sz w:val="22"/>
          <w:lang w:eastAsia="ru-RU"/>
        </w:rPr>
        <w:t xml:space="preserve">Талдомского городского округа от 25.09.2025 г.  №  72 </w:t>
      </w:r>
      <w:r w:rsidRPr="00346DED">
        <w:rPr>
          <w:rFonts w:eastAsia="Times New Roman" w:cs="Times New Roman"/>
          <w:sz w:val="20"/>
          <w:szCs w:val="20"/>
          <w:lang w:eastAsia="ru-RU"/>
        </w:rPr>
        <w:br/>
      </w:r>
    </w:p>
    <w:p w:rsidR="00346DED" w:rsidRPr="00346DED" w:rsidRDefault="00346DED" w:rsidP="00346DED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46DED"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 w:rsidRPr="00346DED">
        <w:rPr>
          <w:rFonts w:eastAsia="Times New Roman" w:cs="Times New Roman"/>
          <w:b/>
          <w:bCs/>
          <w:sz w:val="26"/>
          <w:szCs w:val="26"/>
          <w:lang w:eastAsia="ru-RU"/>
        </w:rPr>
        <w:br/>
        <w:t xml:space="preserve">имущества, передаваемого из собственности Московской области в муниципальную собственность </w:t>
      </w:r>
    </w:p>
    <w:p w:rsidR="00346DED" w:rsidRPr="00346DED" w:rsidRDefault="00346DED" w:rsidP="00346DED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46DED">
        <w:rPr>
          <w:rFonts w:eastAsia="Times New Roman" w:cs="Times New Roman"/>
          <w:b/>
          <w:bCs/>
          <w:sz w:val="26"/>
          <w:szCs w:val="26"/>
          <w:lang w:eastAsia="ru-RU"/>
        </w:rPr>
        <w:t>Талдомского городского округа Московской области</w:t>
      </w:r>
    </w:p>
    <w:p w:rsidR="00346DED" w:rsidRPr="00346DED" w:rsidRDefault="00346DED" w:rsidP="00346DED">
      <w:pPr>
        <w:autoSpaceDE w:val="0"/>
        <w:autoSpaceDN w:val="0"/>
        <w:spacing w:before="600" w:after="360"/>
        <w:contextualSpacing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4"/>
        <w:gridCol w:w="3184"/>
        <w:gridCol w:w="3016"/>
        <w:gridCol w:w="3352"/>
        <w:gridCol w:w="3027"/>
      </w:tblGrid>
      <w:tr w:rsidR="00346DED" w:rsidRPr="00346DED" w:rsidTr="00BF7597"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Индивидуализирующие характеристики имущества</w:t>
            </w:r>
          </w:p>
          <w:p w:rsidR="00346DED" w:rsidRPr="00346DED" w:rsidRDefault="00346DED" w:rsidP="00346DED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(инвентарный номер имущества)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141930, Московская область, Талдомский городской округ, рп. Вербилки, ул. Школьная, д. 10 (муниципальное общеобразовательное учреждение Вербилковская средняя общеобразовательная школа) 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10134029352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141900, Московская область, г. Талдом, пл. Карла Маркса, д. 19 (муниципальное общеобразовательное учреждение гимназия им. А.А. Цветкова)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10134029353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 xml:space="preserve">Корпоративный университет развития 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141960, Московская область, Талдомский городской округ, </w:t>
            </w:r>
            <w:proofErr w:type="spellStart"/>
            <w:r w:rsidRPr="00346DED">
              <w:rPr>
                <w:rFonts w:eastAsiaTheme="minorEastAsia" w:cs="Times New Roman"/>
                <w:szCs w:val="24"/>
                <w:lang w:eastAsia="ru-RU"/>
              </w:rPr>
              <w:t>р.п</w:t>
            </w:r>
            <w:proofErr w:type="spellEnd"/>
            <w:r w:rsidRPr="00346DED">
              <w:rPr>
                <w:rFonts w:eastAsiaTheme="minorEastAsia" w:cs="Times New Roman"/>
                <w:szCs w:val="24"/>
                <w:lang w:eastAsia="ru-RU"/>
              </w:rPr>
              <w:t>. Запрудня, ул. Карла Маркса д. 4 (муниципальное общеобразовательное учреждение «Запрудненская гимназия»)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10134029354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141960, Московская область, Талдомский городской округ, </w:t>
            </w:r>
            <w:proofErr w:type="spellStart"/>
            <w:r w:rsidRPr="00346DED">
              <w:rPr>
                <w:rFonts w:eastAsiaTheme="minorEastAsia" w:cs="Times New Roman"/>
                <w:szCs w:val="24"/>
                <w:lang w:eastAsia="ru-RU"/>
              </w:rPr>
              <w:t>р.п</w:t>
            </w:r>
            <w:proofErr w:type="spellEnd"/>
            <w:r w:rsidRPr="00346DED">
              <w:rPr>
                <w:rFonts w:eastAsiaTheme="minorEastAsia" w:cs="Times New Roman"/>
                <w:szCs w:val="24"/>
                <w:lang w:eastAsia="ru-RU"/>
              </w:rPr>
              <w:t>. Запрудня, ул.  Ленина, д. 19 (муниципальное общеобразовательное учреждение Запрудненская средняя общеобразовательная школа №1)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10134029355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141916, </w:t>
            </w:r>
            <w:bookmarkStart w:id="1" w:name="_GoBack"/>
            <w:bookmarkEnd w:id="1"/>
            <w:r w:rsidRPr="00346DED">
              <w:rPr>
                <w:rFonts w:eastAsiaTheme="minorEastAsia" w:cs="Times New Roman"/>
                <w:szCs w:val="24"/>
                <w:lang w:eastAsia="ru-RU"/>
              </w:rPr>
              <w:t>Российская Федерация, Московская область, Талдомский городской округ, с. Квашёнки, д. 90 (муниципальное общеобразовательное учреждение Квашёнковская средняя общеобразовательная школа)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10134029356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141934, Московская область,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>Талдомский  городской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округ, д. Павловичи, д. 32 (муниципальное общеобразовательное учреждение Павловическая средняя общеобразовательная школа)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10134029357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141900, Московская область, г. Талдом, ул. Орлова, д. 5 (муниципальное общеобразовательное учреждение средняя общеобразовательная школа №1 г. Талдома)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10134029358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Государственное автономное образовательное учреждение 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>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141006, Российская Федерация, Московская 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1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141900, Московская область, г. Талдом, микрорайон 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>Юбилейный, д. 47 (муниципальное общеобразовательное учреждение средняя общеобразовательная школа №2 г. Талдома)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>10134029359</w:t>
            </w:r>
          </w:p>
        </w:tc>
      </w:tr>
      <w:tr w:rsidR="00346DED" w:rsidRPr="00346DED" w:rsidTr="00BF7597">
        <w:tc>
          <w:tcPr>
            <w:tcW w:w="3184" w:type="dxa"/>
            <w:vAlign w:val="bottom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lastRenderedPageBreak/>
              <w:t>Государственное автономное образовательное учреждение дополнительного профессионального образования Московской области «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Корпоративный университет развития образования</w:t>
            </w:r>
            <w:r w:rsidRPr="00346DED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  <w:tc>
          <w:tcPr>
            <w:tcW w:w="3184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141006, Российская Федерация, Московская область, г. Мытищи,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val="en-US"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ул. Индустриальная, д. 13, 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ИНН: 5029</w:t>
            </w:r>
            <w:r w:rsidRPr="00346DED">
              <w:rPr>
                <w:rFonts w:eastAsia="Times New Roman" w:cs="Times New Roman"/>
                <w:szCs w:val="24"/>
                <w:lang w:eastAsia="ru-RU"/>
              </w:rPr>
              <w:t>277117</w:t>
            </w:r>
          </w:p>
        </w:tc>
        <w:tc>
          <w:tcPr>
            <w:tcW w:w="3016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Интерактивная панель     </w:t>
            </w:r>
            <w:proofErr w:type="gramStart"/>
            <w:r w:rsidRPr="00346DED">
              <w:rPr>
                <w:rFonts w:eastAsiaTheme="minorEastAsia" w:cs="Times New Roman"/>
                <w:szCs w:val="24"/>
                <w:lang w:eastAsia="ru-RU"/>
              </w:rPr>
              <w:t xml:space="preserve">   (</w:t>
            </w:r>
            <w:proofErr w:type="gramEnd"/>
            <w:r w:rsidRPr="00346DED">
              <w:rPr>
                <w:rFonts w:eastAsiaTheme="minorEastAsia" w:cs="Times New Roman"/>
                <w:szCs w:val="24"/>
                <w:lang w:eastAsia="ru-RU"/>
              </w:rPr>
              <w:t>3 шт.)</w:t>
            </w:r>
          </w:p>
        </w:tc>
        <w:tc>
          <w:tcPr>
            <w:tcW w:w="3352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141900, Московская область г. Талдом, микрорайон Юбилейный, д. 46 (муниципальное общеобразовательное учреждение средняя общеобразовательная школа №3 г. Талдома)</w:t>
            </w:r>
          </w:p>
        </w:tc>
        <w:tc>
          <w:tcPr>
            <w:tcW w:w="3027" w:type="dxa"/>
          </w:tcPr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10134029360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10134029361</w:t>
            </w:r>
          </w:p>
          <w:p w:rsidR="00346DED" w:rsidRPr="00346DED" w:rsidRDefault="00346DED" w:rsidP="00346DED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346DED">
              <w:rPr>
                <w:rFonts w:eastAsiaTheme="minorEastAsia" w:cs="Times New Roman"/>
                <w:szCs w:val="24"/>
                <w:lang w:eastAsia="ru-RU"/>
              </w:rPr>
              <w:t>10134029362</w:t>
            </w:r>
          </w:p>
        </w:tc>
      </w:tr>
    </w:tbl>
    <w:p w:rsidR="00346DED" w:rsidRPr="00346DED" w:rsidRDefault="00346DED" w:rsidP="00346DED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:rsidR="00346DED" w:rsidRPr="00346DED" w:rsidRDefault="00346DED" w:rsidP="00346DED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:rsidR="00C55DD3" w:rsidRDefault="00C55DD3" w:rsidP="00C55DD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F50A2" w:rsidRPr="00C55DD3" w:rsidRDefault="00CF50A2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</w:p>
    <w:sectPr w:rsidR="00CF50A2" w:rsidRPr="00C55DD3" w:rsidSect="00346DED">
      <w:pgSz w:w="16838" w:h="11906" w:orient="landscape"/>
      <w:pgMar w:top="1276" w:right="1134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46DED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3EA7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14E8F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13D43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55DD3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8D6D-256D-4A5A-9682-B28A882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39449-83A2-4861-90C5-CC34FA5F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2025-09-26T06:08:00Z</cp:lastPrinted>
  <dcterms:created xsi:type="dcterms:W3CDTF">2025-09-26T06:08:00Z</dcterms:created>
  <dcterms:modified xsi:type="dcterms:W3CDTF">2025-10-02T07:53:00Z</dcterms:modified>
</cp:coreProperties>
</file>