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DF1E4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3067A5" w:rsidRPr="003067A5" w:rsidRDefault="00660407" w:rsidP="003067A5">
      <w:pPr>
        <w:tabs>
          <w:tab w:val="left" w:pos="5812"/>
          <w:tab w:val="left" w:pos="7655"/>
        </w:tabs>
        <w:ind w:right="2550"/>
        <w:rPr>
          <w:rFonts w:cs="Times New Roman"/>
          <w:b/>
          <w:sz w:val="26"/>
          <w:szCs w:val="26"/>
        </w:rPr>
      </w:pPr>
      <w:r>
        <w:rPr>
          <w:rFonts w:cs="Times New Roman"/>
          <w:szCs w:val="24"/>
        </w:rPr>
        <w:t xml:space="preserve">  </w:t>
      </w:r>
      <w:r w:rsidR="003067A5" w:rsidRPr="003067A5">
        <w:rPr>
          <w:rFonts w:cs="Times New Roman"/>
          <w:b/>
          <w:sz w:val="26"/>
          <w:szCs w:val="26"/>
        </w:rPr>
        <w:t>О внесении изменений в Положение о порядке захоронений на территории Талдомского городского округа Московской области, утвержденное решением Совета депутатов № 99 от 31.10.2024 г.</w:t>
      </w:r>
    </w:p>
    <w:p w:rsidR="003067A5" w:rsidRPr="003067A5" w:rsidRDefault="003067A5" w:rsidP="003067A5">
      <w:pPr>
        <w:jc w:val="both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shd w:val="clear" w:color="auto" w:fill="FFFFFF" w:themeFill="background1"/>
        <w:ind w:firstLine="851"/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 xml:space="preserve">В соответствии с Федеральным законом № 33-ФЗ от 20.03.2025г  «Об общих принципах организации местного самоуправления в единой системе публичной власти», в соответствии с Федеральными законами от 12.01.1996 № 8-ФЗ «О погребении и похоронном деле», </w:t>
      </w:r>
      <w:hyperlink r:id="rId7" w:history="1">
        <w:r w:rsidRPr="003067A5">
          <w:rPr>
            <w:rFonts w:cs="Times New Roman"/>
            <w:sz w:val="26"/>
            <w:szCs w:val="26"/>
          </w:rPr>
          <w:t>Законом</w:t>
        </w:r>
      </w:hyperlink>
      <w:r w:rsidRPr="003067A5">
        <w:rPr>
          <w:rFonts w:cs="Times New Roman"/>
          <w:sz w:val="26"/>
          <w:szCs w:val="26"/>
        </w:rPr>
        <w:t xml:space="preserve"> Московской области от 17.07.2007 №115/2007-ОЗ «О погребении и похоронном деле в Московской области», постановлением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руководствуясь Уставом Талдомского городского округа Московской области зарегистрированного в Управлении Министерства юстиции Российской Федерации по Московской области 24.12.2018 года № </w:t>
      </w:r>
      <w:r w:rsidRPr="003067A5">
        <w:rPr>
          <w:rFonts w:cs="Times New Roman"/>
          <w:sz w:val="26"/>
          <w:szCs w:val="26"/>
          <w:lang w:val="en-US"/>
        </w:rPr>
        <w:t>RU</w:t>
      </w:r>
      <w:r w:rsidRPr="003067A5">
        <w:rPr>
          <w:rFonts w:cs="Times New Roman"/>
          <w:sz w:val="26"/>
          <w:szCs w:val="26"/>
        </w:rPr>
        <w:t xml:space="preserve"> 503650002018001, </w:t>
      </w:r>
    </w:p>
    <w:p w:rsidR="003067A5" w:rsidRPr="003067A5" w:rsidRDefault="003067A5" w:rsidP="003067A5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3067A5" w:rsidRPr="003067A5" w:rsidRDefault="003067A5" w:rsidP="003067A5">
      <w:pPr>
        <w:ind w:firstLine="851"/>
        <w:jc w:val="center"/>
        <w:rPr>
          <w:rFonts w:cs="Times New Roman"/>
          <w:b/>
          <w:sz w:val="26"/>
          <w:szCs w:val="26"/>
        </w:rPr>
      </w:pPr>
      <w:r w:rsidRPr="003067A5">
        <w:rPr>
          <w:rFonts w:cs="Times New Roman"/>
          <w:b/>
          <w:sz w:val="26"/>
          <w:szCs w:val="26"/>
        </w:rPr>
        <w:t>РЕШИЛ:</w:t>
      </w:r>
    </w:p>
    <w:p w:rsidR="003067A5" w:rsidRPr="003067A5" w:rsidRDefault="003067A5" w:rsidP="003067A5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3067A5" w:rsidRPr="003067A5" w:rsidRDefault="003067A5" w:rsidP="003067A5">
      <w:pPr>
        <w:pStyle w:val="a9"/>
        <w:widowControl w:val="0"/>
        <w:numPr>
          <w:ilvl w:val="0"/>
          <w:numId w:val="2"/>
        </w:numPr>
        <w:tabs>
          <w:tab w:val="left" w:pos="1276"/>
          <w:tab w:val="left" w:pos="5812"/>
        </w:tabs>
        <w:ind w:left="0" w:right="-1" w:firstLine="851"/>
        <w:jc w:val="both"/>
        <w:rPr>
          <w:sz w:val="26"/>
          <w:szCs w:val="26"/>
        </w:rPr>
      </w:pPr>
      <w:r w:rsidRPr="003067A5">
        <w:rPr>
          <w:sz w:val="26"/>
          <w:szCs w:val="26"/>
        </w:rPr>
        <w:t>Внести в Положение о порядке захоронений на территории Талдомского городского округа Московской области, утвержденное решением Совета депутатов Талдомского городского округа Московской от 31 октября 2024 года № 99 следующие изменения:</w:t>
      </w:r>
    </w:p>
    <w:p w:rsidR="003067A5" w:rsidRPr="003067A5" w:rsidRDefault="003067A5" w:rsidP="003067A5">
      <w:pPr>
        <w:pStyle w:val="a9"/>
        <w:widowControl w:val="0"/>
        <w:tabs>
          <w:tab w:val="left" w:pos="1276"/>
          <w:tab w:val="left" w:pos="5812"/>
        </w:tabs>
        <w:ind w:left="993" w:right="-1" w:firstLine="851"/>
        <w:jc w:val="both"/>
        <w:rPr>
          <w:sz w:val="26"/>
          <w:szCs w:val="26"/>
        </w:rPr>
      </w:pPr>
    </w:p>
    <w:p w:rsidR="003067A5" w:rsidRPr="003067A5" w:rsidRDefault="003067A5" w:rsidP="003067A5">
      <w:pPr>
        <w:pStyle w:val="a9"/>
        <w:widowControl w:val="0"/>
        <w:numPr>
          <w:ilvl w:val="1"/>
          <w:numId w:val="2"/>
        </w:numPr>
        <w:tabs>
          <w:tab w:val="left" w:pos="1418"/>
          <w:tab w:val="left" w:pos="5812"/>
        </w:tabs>
        <w:ind w:left="0" w:right="-1" w:firstLine="851"/>
        <w:rPr>
          <w:sz w:val="26"/>
          <w:szCs w:val="26"/>
        </w:rPr>
      </w:pPr>
      <w:r w:rsidRPr="003067A5">
        <w:rPr>
          <w:sz w:val="26"/>
          <w:szCs w:val="26"/>
        </w:rPr>
        <w:t xml:space="preserve"> Абзац 6 п.8.1. раздела 8. «Родственные захоронения» в следующей редакции:</w:t>
      </w:r>
    </w:p>
    <w:p w:rsidR="003067A5" w:rsidRPr="003067A5" w:rsidRDefault="003067A5" w:rsidP="003067A5">
      <w:pPr>
        <w:pStyle w:val="a9"/>
        <w:widowControl w:val="0"/>
        <w:tabs>
          <w:tab w:val="left" w:pos="1418"/>
          <w:tab w:val="left" w:pos="5812"/>
        </w:tabs>
        <w:ind w:left="0" w:right="-1" w:firstLine="851"/>
        <w:rPr>
          <w:sz w:val="26"/>
          <w:szCs w:val="26"/>
        </w:rPr>
      </w:pPr>
      <w:r w:rsidRPr="003067A5">
        <w:rPr>
          <w:sz w:val="26"/>
          <w:szCs w:val="26"/>
        </w:rPr>
        <w:t>«Размер места для родственных захоронений: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-  на кладбищах г.Талдом-6,25 кв.м (длина – 2,50м., ширина – 2,50м., глубина не менее – 1,50м.);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- на кладбищах п.</w:t>
      </w:r>
      <w:r w:rsidR="00162E69">
        <w:rPr>
          <w:rFonts w:cs="Times New Roman"/>
          <w:sz w:val="26"/>
          <w:szCs w:val="26"/>
        </w:rPr>
        <w:t xml:space="preserve"> </w:t>
      </w:r>
      <w:r w:rsidRPr="003067A5">
        <w:rPr>
          <w:rFonts w:cs="Times New Roman"/>
          <w:sz w:val="26"/>
          <w:szCs w:val="26"/>
        </w:rPr>
        <w:t xml:space="preserve">Запрудня – 6,25 </w:t>
      </w:r>
      <w:proofErr w:type="spellStart"/>
      <w:r w:rsidRPr="003067A5">
        <w:rPr>
          <w:rFonts w:cs="Times New Roman"/>
          <w:sz w:val="26"/>
          <w:szCs w:val="26"/>
        </w:rPr>
        <w:t>кв.м</w:t>
      </w:r>
      <w:proofErr w:type="spellEnd"/>
      <w:r w:rsidRPr="003067A5">
        <w:rPr>
          <w:rFonts w:cs="Times New Roman"/>
          <w:sz w:val="26"/>
          <w:szCs w:val="26"/>
        </w:rPr>
        <w:t>. (длина – 2,50м., ширина – 2,50м., глубина не менее – 1,50м.);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- на кладбищах п.</w:t>
      </w:r>
      <w:r w:rsidR="00162E69">
        <w:rPr>
          <w:rFonts w:cs="Times New Roman"/>
          <w:sz w:val="26"/>
          <w:szCs w:val="26"/>
        </w:rPr>
        <w:t xml:space="preserve"> </w:t>
      </w:r>
      <w:r w:rsidRPr="003067A5">
        <w:rPr>
          <w:rFonts w:cs="Times New Roman"/>
          <w:sz w:val="26"/>
          <w:szCs w:val="26"/>
        </w:rPr>
        <w:t>Вербилки и сельских кладбищах – 6,25 кв.м. (длина – 2,50м., ширина – 2,50м., глубина не менее – 1,50м.).»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1.2. п.10.2. раздела 10. «Почетные захоронения» в следующей редакции: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lastRenderedPageBreak/>
        <w:t xml:space="preserve">       «10.2. Размер места для почетных захоронений на обособленных земельных участках:</w:t>
      </w:r>
    </w:p>
    <w:p w:rsidR="003067A5" w:rsidRPr="003067A5" w:rsidRDefault="003067A5" w:rsidP="003067A5">
      <w:pPr>
        <w:pStyle w:val="a9"/>
        <w:widowControl w:val="0"/>
        <w:tabs>
          <w:tab w:val="left" w:pos="993"/>
          <w:tab w:val="left" w:pos="1418"/>
          <w:tab w:val="left" w:pos="5812"/>
        </w:tabs>
        <w:ind w:left="0" w:right="-1" w:firstLine="851"/>
        <w:jc w:val="both"/>
        <w:rPr>
          <w:sz w:val="26"/>
          <w:szCs w:val="26"/>
        </w:rPr>
      </w:pPr>
      <w:r w:rsidRPr="003067A5">
        <w:rPr>
          <w:sz w:val="26"/>
          <w:szCs w:val="26"/>
        </w:rPr>
        <w:t>- д.</w:t>
      </w:r>
      <w:r w:rsidR="00162E69">
        <w:rPr>
          <w:sz w:val="26"/>
          <w:szCs w:val="26"/>
        </w:rPr>
        <w:t xml:space="preserve"> </w:t>
      </w:r>
      <w:r w:rsidRPr="003067A5">
        <w:rPr>
          <w:sz w:val="26"/>
          <w:szCs w:val="26"/>
        </w:rPr>
        <w:t xml:space="preserve">Ахтимнеево составляет - 6,25 кв.м. (длина-2,50 м., ширина -2,50 м, </w:t>
      </w:r>
      <w:r w:rsidR="00162E69" w:rsidRPr="003067A5">
        <w:rPr>
          <w:sz w:val="26"/>
          <w:szCs w:val="26"/>
        </w:rPr>
        <w:t>глубина не</w:t>
      </w:r>
      <w:r w:rsidRPr="003067A5">
        <w:rPr>
          <w:sz w:val="26"/>
          <w:szCs w:val="26"/>
        </w:rPr>
        <w:t xml:space="preserve"> менее-1,50м.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- п.</w:t>
      </w:r>
      <w:r w:rsidR="00162E69">
        <w:rPr>
          <w:rFonts w:cs="Times New Roman"/>
          <w:sz w:val="26"/>
          <w:szCs w:val="26"/>
        </w:rPr>
        <w:t xml:space="preserve"> </w:t>
      </w:r>
      <w:r w:rsidRPr="003067A5">
        <w:rPr>
          <w:rFonts w:cs="Times New Roman"/>
          <w:sz w:val="26"/>
          <w:szCs w:val="26"/>
        </w:rPr>
        <w:t>Запрудня, ул-2ая Первомайская составляет - 6,25 кв.м. (длина - 2,50м., ширина - 2,50м., глубина не менее-1,50м.)</w:t>
      </w:r>
      <w:r w:rsidR="00162E69" w:rsidRPr="003067A5">
        <w:rPr>
          <w:rFonts w:cs="Times New Roman"/>
          <w:sz w:val="26"/>
          <w:szCs w:val="26"/>
        </w:rPr>
        <w:t>,»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1.3. п.11.2. раздела 11. «Воинские захоронения» в следующей редакции:</w:t>
      </w:r>
    </w:p>
    <w:p w:rsidR="003067A5" w:rsidRPr="003067A5" w:rsidRDefault="003067A5" w:rsidP="003067A5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067A5">
        <w:rPr>
          <w:rFonts w:ascii="Times New Roman" w:hAnsi="Times New Roman" w:cs="Times New Roman"/>
          <w:sz w:val="26"/>
          <w:szCs w:val="26"/>
        </w:rPr>
        <w:t xml:space="preserve">     «11.2. Размер места воинского захоронения: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- д.</w:t>
      </w:r>
      <w:r w:rsidR="00162E69">
        <w:rPr>
          <w:rFonts w:cs="Times New Roman"/>
          <w:sz w:val="26"/>
          <w:szCs w:val="26"/>
        </w:rPr>
        <w:t xml:space="preserve"> </w:t>
      </w:r>
      <w:r w:rsidRPr="003067A5">
        <w:rPr>
          <w:rFonts w:cs="Times New Roman"/>
          <w:sz w:val="26"/>
          <w:szCs w:val="26"/>
        </w:rPr>
        <w:t>Ахтимнеево составляет – 6,25 кв.м. (длина – 2,50м., ширина – 2,50м., глубина не менее – 1,50м.);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 xml:space="preserve">      - п.</w:t>
      </w:r>
      <w:r w:rsidR="00162E69">
        <w:rPr>
          <w:rFonts w:cs="Times New Roman"/>
          <w:sz w:val="26"/>
          <w:szCs w:val="26"/>
        </w:rPr>
        <w:t xml:space="preserve"> </w:t>
      </w:r>
      <w:bookmarkStart w:id="0" w:name="_GoBack"/>
      <w:bookmarkEnd w:id="0"/>
      <w:r w:rsidRPr="003067A5">
        <w:rPr>
          <w:rFonts w:cs="Times New Roman"/>
          <w:sz w:val="26"/>
          <w:szCs w:val="26"/>
        </w:rPr>
        <w:t>Запрудня, ул.2-ая Первомайская составляет – 6,25 кв.м. (длина – 2,50м., ширина – 2,50м., глубина не менее – 1,50м.).»</w:t>
      </w:r>
    </w:p>
    <w:p w:rsidR="003067A5" w:rsidRPr="003067A5" w:rsidRDefault="003067A5" w:rsidP="003067A5">
      <w:pPr>
        <w:widowControl w:val="0"/>
        <w:tabs>
          <w:tab w:val="left" w:pos="1418"/>
          <w:tab w:val="left" w:pos="5812"/>
        </w:tabs>
        <w:ind w:right="-1" w:firstLine="851"/>
        <w:jc w:val="both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pStyle w:val="a9"/>
        <w:widowControl w:val="0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3067A5">
        <w:rPr>
          <w:sz w:val="26"/>
          <w:szCs w:val="26"/>
        </w:rPr>
        <w:t>Опубликовать настоящее решение в газете «Талдомская ЗАРЯ» и на официальном сайте администрации Талдомского городского округа Московской области.</w:t>
      </w:r>
    </w:p>
    <w:p w:rsidR="003067A5" w:rsidRPr="003067A5" w:rsidRDefault="003067A5" w:rsidP="003067A5">
      <w:pPr>
        <w:pStyle w:val="a9"/>
        <w:widowControl w:val="0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3067A5">
        <w:rPr>
          <w:sz w:val="26"/>
          <w:szCs w:val="26"/>
        </w:rPr>
        <w:t>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3067A5" w:rsidRDefault="003067A5" w:rsidP="003067A5">
      <w:pPr>
        <w:ind w:firstLine="851"/>
        <w:jc w:val="both"/>
        <w:rPr>
          <w:rFonts w:cs="Times New Roman"/>
          <w:sz w:val="26"/>
          <w:szCs w:val="26"/>
        </w:rPr>
      </w:pPr>
    </w:p>
    <w:p w:rsidR="00162E69" w:rsidRPr="003067A5" w:rsidRDefault="00162E69" w:rsidP="003067A5">
      <w:pPr>
        <w:ind w:firstLine="851"/>
        <w:jc w:val="both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Председатель Совета депутатов</w:t>
      </w:r>
    </w:p>
    <w:p w:rsidR="003067A5" w:rsidRPr="003067A5" w:rsidRDefault="003067A5" w:rsidP="003067A5">
      <w:pPr>
        <w:tabs>
          <w:tab w:val="left" w:pos="7288"/>
        </w:tabs>
        <w:jc w:val="both"/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>Талдомского городского округа</w:t>
      </w:r>
      <w:r w:rsidRPr="003067A5">
        <w:rPr>
          <w:rFonts w:cs="Times New Roman"/>
          <w:sz w:val="26"/>
          <w:szCs w:val="26"/>
        </w:rPr>
        <w:tab/>
        <w:t xml:space="preserve">            М.И. Аникеев</w:t>
      </w:r>
    </w:p>
    <w:p w:rsidR="003067A5" w:rsidRPr="003067A5" w:rsidRDefault="003067A5" w:rsidP="003067A5">
      <w:pPr>
        <w:jc w:val="both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jc w:val="both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rPr>
          <w:rFonts w:cs="Times New Roman"/>
          <w:sz w:val="26"/>
          <w:szCs w:val="26"/>
        </w:rPr>
      </w:pPr>
      <w:r w:rsidRPr="003067A5">
        <w:rPr>
          <w:rFonts w:cs="Times New Roman"/>
          <w:sz w:val="26"/>
          <w:szCs w:val="26"/>
        </w:rPr>
        <w:t xml:space="preserve">Глава Талдомского городского округа                                   </w:t>
      </w:r>
      <w:r>
        <w:rPr>
          <w:rFonts w:cs="Times New Roman"/>
          <w:sz w:val="26"/>
          <w:szCs w:val="26"/>
        </w:rPr>
        <w:t xml:space="preserve">              </w:t>
      </w:r>
      <w:r w:rsidRPr="003067A5">
        <w:rPr>
          <w:rFonts w:cs="Times New Roman"/>
          <w:sz w:val="26"/>
          <w:szCs w:val="26"/>
        </w:rPr>
        <w:t xml:space="preserve">          Ю.В. Крупенин</w:t>
      </w:r>
    </w:p>
    <w:p w:rsidR="00CF50A2" w:rsidRPr="003067A5" w:rsidRDefault="00CF50A2" w:rsidP="003067A5">
      <w:pPr>
        <w:ind w:left="142" w:right="4678"/>
        <w:jc w:val="center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Pr="003067A5" w:rsidRDefault="003067A5" w:rsidP="003067A5">
      <w:pPr>
        <w:ind w:left="142" w:right="4678" w:hanging="142"/>
        <w:rPr>
          <w:rFonts w:cs="Times New Roman"/>
          <w:sz w:val="26"/>
          <w:szCs w:val="26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p w:rsidR="003067A5" w:rsidRDefault="003067A5" w:rsidP="003067A5">
      <w:pPr>
        <w:ind w:left="142" w:right="4678" w:hanging="142"/>
        <w:rPr>
          <w:rFonts w:cs="Times New Roman"/>
          <w:szCs w:val="24"/>
        </w:rPr>
      </w:pPr>
    </w:p>
    <w:sectPr w:rsidR="003067A5" w:rsidSect="003067A5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C2BB7"/>
    <w:multiLevelType w:val="multilevel"/>
    <w:tmpl w:val="F0E8B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2E69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067A5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1E47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E8401-9025-40BD-B450-22B85C87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E51246B1F1595B4336090C65F7BDCC09CD4B12A31780AD88E490E1B5EB21468047478F4F79153F8440AF8F89ICo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7B668-D85F-4E53-86A5-E4F2943B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2026-02-27T11:27:00Z</dcterms:created>
  <dcterms:modified xsi:type="dcterms:W3CDTF">2026-03-16T13:29:00Z</dcterms:modified>
</cp:coreProperties>
</file>